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799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63FAD36">
      <w:pPr>
        <w:spacing w:line="540" w:lineRule="exact"/>
        <w:jc w:val="center"/>
        <w:rPr>
          <w:rFonts w:ascii="华文中宋" w:hAnsi="华文中宋" w:eastAsia="华文中宋" w:cs="宋体"/>
          <w:b/>
          <w:kern w:val="0"/>
          <w:sz w:val="52"/>
          <w:szCs w:val="52"/>
        </w:rPr>
      </w:pPr>
    </w:p>
    <w:p w14:paraId="5336C51B">
      <w:pPr>
        <w:spacing w:line="540" w:lineRule="exact"/>
        <w:jc w:val="center"/>
        <w:rPr>
          <w:rFonts w:ascii="华文中宋" w:hAnsi="华文中宋" w:eastAsia="华文中宋" w:cs="宋体"/>
          <w:b/>
          <w:kern w:val="0"/>
          <w:sz w:val="52"/>
          <w:szCs w:val="52"/>
        </w:rPr>
      </w:pPr>
    </w:p>
    <w:p w14:paraId="6D324D69">
      <w:pPr>
        <w:spacing w:line="540" w:lineRule="exact"/>
        <w:jc w:val="center"/>
        <w:rPr>
          <w:rFonts w:ascii="华文中宋" w:hAnsi="华文中宋" w:eastAsia="华文中宋" w:cs="宋体"/>
          <w:b/>
          <w:kern w:val="0"/>
          <w:sz w:val="52"/>
          <w:szCs w:val="52"/>
        </w:rPr>
      </w:pPr>
    </w:p>
    <w:p w14:paraId="65052222">
      <w:pPr>
        <w:spacing w:line="540" w:lineRule="exact"/>
        <w:jc w:val="center"/>
        <w:rPr>
          <w:rFonts w:ascii="华文中宋" w:hAnsi="华文中宋" w:eastAsia="华文中宋" w:cs="宋体"/>
          <w:b/>
          <w:kern w:val="0"/>
          <w:sz w:val="52"/>
          <w:szCs w:val="52"/>
        </w:rPr>
      </w:pPr>
    </w:p>
    <w:p w14:paraId="7D01A3ED">
      <w:pPr>
        <w:spacing w:line="540" w:lineRule="exact"/>
        <w:jc w:val="center"/>
        <w:rPr>
          <w:rFonts w:ascii="华文中宋" w:hAnsi="华文中宋" w:eastAsia="华文中宋" w:cs="宋体"/>
          <w:b/>
          <w:kern w:val="0"/>
          <w:sz w:val="52"/>
          <w:szCs w:val="52"/>
        </w:rPr>
      </w:pPr>
    </w:p>
    <w:p w14:paraId="593C38C5">
      <w:pPr>
        <w:spacing w:line="540" w:lineRule="exact"/>
        <w:jc w:val="center"/>
        <w:rPr>
          <w:rFonts w:ascii="华文中宋" w:hAnsi="华文中宋" w:eastAsia="华文中宋" w:cs="宋体"/>
          <w:b/>
          <w:kern w:val="0"/>
          <w:sz w:val="52"/>
          <w:szCs w:val="52"/>
        </w:rPr>
      </w:pPr>
    </w:p>
    <w:p w14:paraId="68E9366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7F1FF3C">
      <w:pPr>
        <w:spacing w:line="540" w:lineRule="exact"/>
        <w:jc w:val="center"/>
        <w:rPr>
          <w:rFonts w:ascii="华文中宋" w:hAnsi="华文中宋" w:eastAsia="华文中宋" w:cs="宋体"/>
          <w:b/>
          <w:kern w:val="0"/>
          <w:sz w:val="52"/>
          <w:szCs w:val="52"/>
        </w:rPr>
      </w:pPr>
    </w:p>
    <w:p w14:paraId="65B0ED6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63E9997">
      <w:pPr>
        <w:spacing w:line="540" w:lineRule="exact"/>
        <w:jc w:val="center"/>
        <w:rPr>
          <w:rFonts w:hAnsi="宋体" w:eastAsia="仿宋_GB2312" w:cs="宋体"/>
          <w:kern w:val="0"/>
          <w:sz w:val="30"/>
          <w:szCs w:val="30"/>
        </w:rPr>
      </w:pPr>
    </w:p>
    <w:p w14:paraId="76225274">
      <w:pPr>
        <w:spacing w:line="540" w:lineRule="exact"/>
        <w:jc w:val="center"/>
        <w:rPr>
          <w:rFonts w:hAnsi="宋体" w:eastAsia="仿宋_GB2312" w:cs="宋体"/>
          <w:kern w:val="0"/>
          <w:sz w:val="30"/>
          <w:szCs w:val="30"/>
        </w:rPr>
      </w:pPr>
    </w:p>
    <w:p w14:paraId="7FBB5AD0">
      <w:pPr>
        <w:spacing w:line="540" w:lineRule="exact"/>
        <w:jc w:val="center"/>
        <w:rPr>
          <w:rFonts w:ascii="方正小标宋_GBK" w:hAnsi="宋体" w:eastAsia="方正小标宋_GBK" w:cs="宋体"/>
          <w:kern w:val="0"/>
          <w:sz w:val="36"/>
          <w:szCs w:val="36"/>
        </w:rPr>
      </w:pPr>
      <w:bookmarkStart w:id="0" w:name="_GoBack"/>
      <w:bookmarkEnd w:id="0"/>
    </w:p>
    <w:p w14:paraId="3D34DF34">
      <w:pPr>
        <w:spacing w:line="540" w:lineRule="exact"/>
        <w:jc w:val="center"/>
        <w:rPr>
          <w:rFonts w:hAnsi="宋体" w:eastAsia="仿宋_GB2312" w:cs="宋体"/>
          <w:kern w:val="0"/>
          <w:sz w:val="30"/>
          <w:szCs w:val="30"/>
        </w:rPr>
      </w:pPr>
    </w:p>
    <w:p w14:paraId="0D88F1A4">
      <w:pPr>
        <w:spacing w:line="540" w:lineRule="exact"/>
        <w:jc w:val="center"/>
        <w:rPr>
          <w:rFonts w:hAnsi="宋体" w:eastAsia="仿宋_GB2312" w:cs="宋体"/>
          <w:kern w:val="0"/>
          <w:sz w:val="30"/>
          <w:szCs w:val="30"/>
        </w:rPr>
      </w:pPr>
    </w:p>
    <w:p w14:paraId="78E44324">
      <w:pPr>
        <w:spacing w:line="540" w:lineRule="exact"/>
        <w:jc w:val="center"/>
        <w:rPr>
          <w:rFonts w:hAnsi="宋体" w:eastAsia="仿宋_GB2312" w:cs="宋体"/>
          <w:kern w:val="0"/>
          <w:sz w:val="30"/>
          <w:szCs w:val="30"/>
        </w:rPr>
      </w:pPr>
    </w:p>
    <w:p w14:paraId="1915938A">
      <w:pPr>
        <w:spacing w:line="540" w:lineRule="exact"/>
        <w:rPr>
          <w:rFonts w:hAnsi="宋体" w:eastAsia="仿宋_GB2312" w:cs="宋体"/>
          <w:kern w:val="0"/>
          <w:sz w:val="30"/>
          <w:szCs w:val="30"/>
        </w:rPr>
      </w:pPr>
    </w:p>
    <w:p w14:paraId="5236515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F2E5C3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房租成本性支出及后勤保障专项经费</w:t>
      </w:r>
    </w:p>
    <w:p w14:paraId="5BDB25C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新疆维吾尔自治区发展和改革委员会机关服务中心</w:t>
      </w:r>
    </w:p>
    <w:p w14:paraId="3484203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新疆维吾尔自治区发展和改革委员会机关服务中心</w:t>
      </w:r>
    </w:p>
    <w:p w14:paraId="0127224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黄义平</w:t>
      </w:r>
    </w:p>
    <w:p w14:paraId="546E477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2025年03月11日</w:t>
      </w:r>
    </w:p>
    <w:p w14:paraId="35ACE114">
      <w:pPr>
        <w:spacing w:line="700" w:lineRule="exact"/>
        <w:ind w:firstLine="708" w:firstLineChars="236"/>
        <w:jc w:val="left"/>
        <w:rPr>
          <w:rFonts w:hAnsi="宋体" w:eastAsia="仿宋_GB2312" w:cs="宋体"/>
          <w:kern w:val="0"/>
          <w:sz w:val="30"/>
          <w:szCs w:val="30"/>
        </w:rPr>
      </w:pPr>
    </w:p>
    <w:p w14:paraId="68A3D3CC">
      <w:pPr>
        <w:spacing w:line="540" w:lineRule="exact"/>
        <w:rPr>
          <w:rStyle w:val="18"/>
          <w:rFonts w:ascii="黑体" w:hAnsi="黑体" w:eastAsia="黑体"/>
          <w:b w:val="0"/>
          <w:spacing w:val="-4"/>
          <w:sz w:val="32"/>
          <w:szCs w:val="32"/>
        </w:rPr>
      </w:pPr>
    </w:p>
    <w:p w14:paraId="23BE22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CC5F49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259EE2A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我委办公楼、公房等基础设施陈旧，频繁出现跑冒滴漏现象，对委内职工集中反映的问题统筹安排，优先将必需更新及维修维护的水、电、暖气管道、阀门、公共照明等5项零星维修更换；对委办公楼、公共住宅区18000平方米管理面积的花草树木等进行修整，改善职工食堂伙食质量和就餐环境，对办公区公共住宅区加强安保巡查力度，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更新及维修维护水、电、暖气管道、阀门、公共照明等项目进行零星更换和维修；实施维护委内办公区花草绿化、办公区及职工餐厅垃圾清运、办公区下水疏通清理等物业服务；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会同委办公室协调办公楼搬迁各项工作，及时调整和增加保洁人员，为办公区配置保洁设备等，确保搬迁工作安全、有序、顺利完成。全年完成三个办公区零星维修200余次；开展年度办公区绿化工作、防虫粉刷、卫生大扫除等工作，积极做好干部职工餐饮保障工作，增强反食品浪费理念，引导食品安全意识，科学配餐、营养搭配，不断提高厨艺，确保吃的健康、吃的放心、吃的满意；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机关服务中心主要职能：机关办公与职工工作生活提供后勤服务、机关交通、文印、办公区环境卫生、会议招待、公房维修、物业管理、资产管理、职工餐饮、承办机关委托有关事项服务及相关社会服务。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编制人数45人，其中：事业人员编制45人，实有在职人数25人，离退休人员43人，其中：事业退休43人。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厅《关于批复自治区本级2024年部门预算的通知》（新财预【2024】1号）文件预算安排资金0万元，单位资金226万元，其中维修（护）费45.70万元、物业管理费补助费用31.50万元、其他商品服务2万元、委托业务费146.80万元，截至2024年12月31日，实际支出186.89万元，预算执行率82.69%。</w:t>
      </w:r>
    </w:p>
    <w:p w14:paraId="13A89DD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4818C4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认真落实民生工程有关要求，针对我委办公楼、公房等基础设施陈旧，频繁出现跑冒滴漏现象，对委内职工反映集中的问题统筹安排，优先将必需更新及维修维护的水、电、暖气管道、阀门、公共照明等项目进行零星更换和维修；实施维护委内办公区花草绿化、办公区及职工餐厅垃圾清运、办公区下水疏通清理等物业服务；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政府购买服务相关要求，通过委托招标代理、公开招标等流程，已与新疆克拉物业管理服务有限公司签订后勤管理服务项目合同，两个项目涉及41名购买服务人员，按照合同约定支付相关费用。按照合同约定我委搬迁西后街办公区，服务保障范围发生变化，食堂停办，将按照我委实际需求调整政府购买服务范围。积极协调机关事务管理局和餐饮公司，妥善解决我委职工食堂工作人员就业问题。</w:t>
      </w:r>
    </w:p>
    <w:p w14:paraId="78B74E5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68CA3DC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43117E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以房租成本性支出及后勤保障专项经费项目支出为对象所对应的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本次评价范围涵盖项目总体绩效目标、各项绩效指标完成情况以及预算执行情况。覆盖项目预算资金支出的所有内容进行评价。包括项目产出、项目实施和项目成果验收流程、项目达到的效益等。</w:t>
      </w:r>
    </w:p>
    <w:p w14:paraId="1C92887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17E65F8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绩效评价方法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本次评价采用定量与定性评价相结合的比较法，公众评判法，总分由各项指标得分汇总形成。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工作组采用实地调查的形式,充分了解掌握资金分配、资金管理、资金使用、制度建设、制度执行、项目实施效果等情况。采用问卷调查方式,对项目受益对象开展满意度调查,评价房租成本性支出及后勤保障专项经费项目产出的效益及满意度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535AD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4E51DD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李刚任评价组组长，绩效评价工作职责为负责全盘工作。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曹王平任评价组副组长，绩效评价工作职责为对项目实施情况进行实地调查。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杨云军、王文革、黎涛任评价组成员，绩效评价工作职责为负责资料审核等工作。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项目撰写绩效评价报告，按照财政厅大平台绩效系统中统一格式和文本框架撰写绩效评价报告。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7F0FED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5543BCF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房租成本性支出及后勤保障专项经费项目总体组织规范，完成了房租成本性支出及后勤保障专项经费项目的工作目标，有效规范了项目档案资料的整理，推动了房租成本性支出及后勤保障专项经费产生社会效益。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在项目决策方面，房租成本性支出及后勤保障专项经费项目立项依据充分，立项程序规范。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项目管理方面，2024年本项目预算安排226万元，实际支出186.89万元，预算执行率82.69%。 项目资金使用合规，项目财务管理制度健全，财务监控到位，所有资金支付均按照财务制度严格执行，现有项目管理制度执行情况良好。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项目效益方面：按预定目标完成了年初所设定的各项指标。专项经费实际支出未超出预算规定，保障了专项工作的开展。有效解决办公及公共住宅的环境，不断提升全委干部职工办公及生活环境的满意度。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项目组制定评价指标体系及财政部《项目支出绩效评价管理办法》（财预〔2020〕10号）文件中的评价指标体系及评分标准，通过数据采集、调查访谈，综合分析对房租成本性支出及后勤保障专项经费项目进行客观评价，最终评分结果：总得分为97.43分，根据财预〔2021〕61号文的评分等级：90（含）-100分为优、80（含）-90分为良、60（含）-80分为中、60分以下为差，该项目得分等级为“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房租成本性支出及后勤保障专项经费项目绩效得分情况表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 项目决策 项目过程 项目产出 合计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权重 30 30 40 100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分值 30 29.13 38.3 97.43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得分率 100.00% 97.1% 95.75% 97.43%</w:t>
      </w:r>
    </w:p>
    <w:p w14:paraId="6B88EA9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D4809B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7AA2965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项目决策类指标包括项目立项、绩效目标和资金投入三方面的内容，由6个三级指标构成，权重分为 30 分，实际得分30分，得分率为100%。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根据新党编委【2019】20号文件立项，旨在为委机关提供后勤保障工作，会同委办公室协调办公楼搬迁各项工作，及时调整和增加保洁人员，为办公区配置保洁设备等，确保搬迁工作安全、有序、顺利完成。全年完成三个办公区零星维修200余次；开展年度办公区绿化工作、防虫粉刷、卫生大扫除等工作，积极做好干部职工餐饮保障工作，增强反食品浪费理念，引导食品安全意识，科学配餐、营养搭配，不断提高厨艺，确保吃的健康、吃的放心、吃的满意；有效解决办公及公共住宅的环境，不断提升全委干部职工办公及生活环境的满意度。项目的立项符合相关法规政策及机关服务中心部门职责，立项依据充分；项目按照规定的程序申请设立；审批文件、材料符合相关要求。根据评分标准，该指标满分5分，指标不扣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分管领导进行沟通、筛选确定经费预算计划，上党委会研究确定最终预算方案，该项目按照规定的程序申请设立；审批文件、材料符合相关要求。根据评分标准，该指标满分3分，指标不扣分，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该项目制定了实施方案，明确了总体思路及目标、并对任务进行了详细分解，对目标进行了细化，项目设置有绩效目标且绩效目标与机关服务中心实际工作内容具有相关性，与预算确定的资金量相匹配。根据评分标准，该指标满分4分，指标不扣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项目根据绩效目标细化分解设置了绩效指标，其中一级指标2个，二级指标4个，三级指标10个，其中量化指标10条，指标量化率为100%，能够清晰、可衡量的体现绩效目标的任务要求及效益效果，与绩效目标任务数相对应。根据评分标准，该指标满分4分，指标不扣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该项目预算编制经过科学论证，内容与项目内容匹配，项目投资额与工作任务相匹配。根据评分标准，该指标满分7分，指标不扣分，得分7分。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与实际相适应，该项目预算资金226万元，其中维修费45.70万元（包括招待所粉刷工程；零星维修。），物业管理费补助费用31.50万元（包括机关外围积雪外包费；机关大院清雪费；清理办公区废旧家具杂物；机关大院下水井疏通费用；办公区绿化费；各门卫室通讯费；维修绿化及清雪设备）。其他商品和服务支出2万元。（包括保洁用纸；党建宣传、节能型机关创建、垃圾分类、消防宣传等广告品），委托业务费146.80万元。根据评分标准，该指标满分7分，指标不扣分，得分7分。</w:t>
      </w:r>
    </w:p>
    <w:p w14:paraId="345D2E5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10B97D4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5个三级指标构成，权重分为30分，实际得分29.13分，得分率为97.1%。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单位资金足额到位，牵头单位能够及时足额按照合同约定将专项资金拨付给联合体单位，项目预算总资金为226万元，实际到位资金226万元，资金到位率=226/226*100%=100%。根据评分标准，该指标满分5分，指标不扣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（2）预算执行率：项目实际支付资金186.89万元。预算执行率=执行预算金额/到位预算金额=186.89/226*100%=82.69%。</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根据评分标准，该指标满分5分，得分4.13分。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我单位严格遵守资金使用相关规定、办法进行支付管理，按照《新疆维吾自治区发展和改革委员会机关财务管理办法》,严控经费支出，并严格按照公示制度要求进行公示，对项目资金，把资金的审批分配、监督检查与绩效评价结合起来，遵循先预算、再审批、后支出的原则，确保了财政资金分配和财政审批程序合法，保证了项目资金的合理使用。对本级资金安排项目按照单位内部制定的资金管理办法及其他相关管理办法进行管理并严格执行，实行专人管理、专户储存、专账核算、专项使用、专款专用，无擅自调项、扩项、缩项，及拆借、挪用、挤占和随意扣压；资金拨付动向，按预算专项资金的要求执行，未任意改变；特殊状况，按照请示审批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根据评分标准，该指标不扣分，得7分。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按照中心制定的《物业管理办法》、《维修管理办法》等，落实“一岗双责”，强化作风建设，进一步规范后勤管理，积极配合委广场联合办公大楼搬迁协调组开展前期设计、造价、监理、委托招标；配合协调新办公楼节能改造、主体施工、信息化建设等工作。会同委办公室协调办公楼搬迁各项工作。积极做好干部职工餐饮保障工作，增强反食品浪费理念，引导食品安全意识，科学配餐、营养搭配，不断提高厨艺，确保吃的健康、吃的放心、吃的满意。截止目前，全年共计就餐63167人次。积极开展自治区机关事务管理局反食品浪费评估工作，参加全区反食品浪费评估检查工作，机关食堂在迎接自治区机关事务管理局反食品浪费评估工作检查中，被评为优秀食堂。常态化做好委机关日常维修、物业、车辆等保障工作，全年完成三个办公区零星维修200余次；二是物业保洁。积极开展“无烟党政机关”创建工作，并通过天山区文明办检查验收；配合社区开展文明城市和文明单位创建工作，组织开展学雷锋、交通文明岗、树木为消除安全隐患，更换办公楼消防器材一批；开展年度办公区绿化工作、防虫粉刷、卫生大扫除等工作，种植养护绿植2500㎡，花卉3000株。三是车辆保障。严格落实车辆定点加油和定点维修制度，机关公务用车保障全年安全无事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根据评分标准，该指标不扣分，得7分。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（5）制度执行有效性：由部门提出经费预算支出可行性方案，经过与分管领导沟通后执行，财务对资金的使用合法合规性进行监督，年底对资金使用效果进行自评，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根据评分标准，该指标不扣分，得6分。</w:t>
      </w:r>
    </w:p>
    <w:p w14:paraId="718EE91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988467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项目产出类指标包括产出数量、产出质量、产出时效、产出成本四方面的内容，由10个三级指标构成，权重分为40分，实际得分38.3分，得分率为95.75%。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零星维修等物业服务工作，预期指标值为5项，实际完成值为5项，与预期目标一致，根据评分标准，该指标不扣分，得5分。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办公及宿舍物业管理面积，预期指标值为18000平方米，实际完成值为18000平方米，根据评分标准，该指标不扣分，得5分。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物业管理服务达标率，预期值为100%，实际完成率为100%，与预期目标一致，根据评分标准，该指标不扣分，得5分。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零星维修等服务达标率100%，实际完成率为100%，与预期目标一致，根据评分标准，该指标不扣分，得5分。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后勤保障时间12月，与预期目标指标一致。根据评分标准，该指标不扣分，得5分。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物业管理服务达标率，预期值为100%，实际完成率为100%，与预期目标指标一致。根据评分标准，该指标不扣分，得5分。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（4）对于“产出成本”：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星维修等服务支出预期值为45.7万元，实际完成15.99万元，偏差原因：因办公楼待搬迁故部分项目未实施，采取的措施：待办公楼搬迁后维修项目实施完毕验收后立即支付项目资金。根据评分标准，该指标扣1.3分，得0.7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物业管理费补助费用预期值为31.5万元，实际完成26.57万元，偏差原因：因办公楼待搬迁故部分项目未实施，采取的措施：待办公楼搬迁后维修项目实施完毕验收后立即支付项目资金。根据评分标准，该指标扣0.31分，得1.69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其他商品服务支出预期值为2万元，实际完成2万元，项目经费都能控制在绩效目标范围内，根据评分标准，该指标不扣分，得3分。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委托业务费支出预期值为146.8万元，实际完成142.33万元，偏差原因：按中标金额支付实际费用，采取的措施：通过充分竞争，选择最优方案和供应商。根据评分标准，该指标扣0.09分，得2.91分。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合计得分：8.3分。</w:t>
      </w:r>
    </w:p>
    <w:p w14:paraId="6B21D2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50EA45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项目无效益类指标。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对于“可持续影响指标”：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p>
    <w:p w14:paraId="59BB7B1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本项目无该指标。</w:t>
      </w:r>
    </w:p>
    <w:p w14:paraId="3B5C23B4">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50DCC32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本项目能够严格按照《项目实施方案》执行，项目执行情况较好。二是加强组织领导，本项目绩效评价工作，有中心主要领导亲自挂帅，专人具体负责，从项目到资金，均能够很好的执行。三是加强沟通协调，我单位及时向委领导汇报项目执行进度，加强与施工单位的沟通，确保项目按期完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EF23ACF">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16BBDD63">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3.通过绩效管理，发现实施中存在漏洞，以后加强管理，及时掌握与之相关的各类信息，减少成本，使资金效益最大化。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4．评价工作应从项目实施方案源头抓起，评价工作和意识应贯穿项目整个过程。</w:t>
      </w:r>
    </w:p>
    <w:p w14:paraId="1D2A31F4">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32A52CBC">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3E20FB09">
      <w:pPr>
        <w:spacing w:line="540" w:lineRule="exact"/>
        <w:ind w:firstLine="567"/>
        <w:rPr>
          <w:rStyle w:val="18"/>
          <w:rFonts w:ascii="仿宋" w:hAnsi="仿宋" w:eastAsia="仿宋"/>
          <w:b w:val="0"/>
          <w:spacing w:val="-4"/>
          <w:sz w:val="32"/>
          <w:szCs w:val="32"/>
        </w:rPr>
      </w:pPr>
    </w:p>
    <w:p w14:paraId="7C21EBBD">
      <w:pPr>
        <w:spacing w:line="540" w:lineRule="exact"/>
        <w:ind w:firstLine="567"/>
        <w:rPr>
          <w:rStyle w:val="18"/>
          <w:rFonts w:ascii="仿宋" w:hAnsi="仿宋" w:eastAsia="仿宋"/>
          <w:b w:val="0"/>
          <w:spacing w:val="-4"/>
          <w:sz w:val="32"/>
          <w:szCs w:val="32"/>
        </w:rPr>
      </w:pPr>
    </w:p>
    <w:p w14:paraId="73301852">
      <w:pPr>
        <w:spacing w:line="540" w:lineRule="exact"/>
        <w:ind w:firstLine="567"/>
        <w:rPr>
          <w:rStyle w:val="18"/>
          <w:rFonts w:ascii="仿宋" w:hAnsi="仿宋" w:eastAsia="仿宋"/>
          <w:b w:val="0"/>
          <w:spacing w:val="-4"/>
          <w:sz w:val="32"/>
          <w:szCs w:val="32"/>
        </w:rPr>
      </w:pPr>
    </w:p>
    <w:p w14:paraId="62151A8D">
      <w:pPr>
        <w:spacing w:line="540" w:lineRule="exact"/>
        <w:ind w:firstLine="567"/>
        <w:rPr>
          <w:rStyle w:val="18"/>
          <w:rFonts w:ascii="仿宋" w:hAnsi="仿宋" w:eastAsia="仿宋"/>
          <w:b w:val="0"/>
          <w:spacing w:val="-4"/>
          <w:sz w:val="32"/>
          <w:szCs w:val="32"/>
        </w:rPr>
      </w:pPr>
    </w:p>
    <w:p w14:paraId="6BCF2159">
      <w:pPr>
        <w:spacing w:line="540" w:lineRule="exact"/>
        <w:ind w:firstLine="567"/>
        <w:rPr>
          <w:rStyle w:val="18"/>
          <w:rFonts w:ascii="仿宋" w:hAnsi="仿宋" w:eastAsia="仿宋"/>
          <w:b w:val="0"/>
          <w:spacing w:val="-4"/>
          <w:sz w:val="32"/>
          <w:szCs w:val="32"/>
        </w:rPr>
      </w:pPr>
    </w:p>
    <w:p w14:paraId="45ADBC86">
      <w:pPr>
        <w:spacing w:line="540" w:lineRule="exact"/>
        <w:ind w:firstLine="567"/>
        <w:rPr>
          <w:rStyle w:val="18"/>
          <w:rFonts w:ascii="仿宋" w:hAnsi="仿宋" w:eastAsia="仿宋"/>
          <w:b w:val="0"/>
          <w:spacing w:val="-4"/>
          <w:sz w:val="32"/>
          <w:szCs w:val="32"/>
        </w:rPr>
      </w:pPr>
    </w:p>
    <w:p w14:paraId="1C1F8E9B">
      <w:pPr>
        <w:spacing w:line="540" w:lineRule="exact"/>
        <w:ind w:firstLine="567"/>
        <w:rPr>
          <w:rStyle w:val="18"/>
          <w:rFonts w:ascii="仿宋" w:hAnsi="仿宋" w:eastAsia="仿宋"/>
          <w:b w:val="0"/>
          <w:spacing w:val="-4"/>
          <w:sz w:val="32"/>
          <w:szCs w:val="32"/>
        </w:rPr>
      </w:pPr>
    </w:p>
    <w:p w14:paraId="3D2608DF">
      <w:pPr>
        <w:spacing w:line="540" w:lineRule="exact"/>
        <w:ind w:firstLine="567"/>
        <w:rPr>
          <w:rStyle w:val="18"/>
          <w:rFonts w:ascii="仿宋" w:hAnsi="仿宋" w:eastAsia="仿宋"/>
          <w:b w:val="0"/>
          <w:spacing w:val="-4"/>
          <w:sz w:val="32"/>
          <w:szCs w:val="32"/>
        </w:rPr>
      </w:pPr>
    </w:p>
    <w:p w14:paraId="7D2BD27D">
      <w:pPr>
        <w:spacing w:line="540" w:lineRule="exact"/>
        <w:ind w:firstLine="567"/>
        <w:rPr>
          <w:rStyle w:val="18"/>
          <w:rFonts w:ascii="仿宋" w:hAnsi="仿宋" w:eastAsia="仿宋"/>
          <w:b w:val="0"/>
          <w:spacing w:val="-4"/>
          <w:sz w:val="32"/>
          <w:szCs w:val="32"/>
        </w:rPr>
      </w:pPr>
    </w:p>
    <w:p w14:paraId="72A41F46">
      <w:pPr>
        <w:spacing w:line="540" w:lineRule="exact"/>
        <w:ind w:firstLine="567"/>
        <w:rPr>
          <w:rStyle w:val="18"/>
          <w:rFonts w:ascii="仿宋" w:hAnsi="仿宋" w:eastAsia="仿宋"/>
          <w:b w:val="0"/>
          <w:spacing w:val="-4"/>
          <w:sz w:val="32"/>
          <w:szCs w:val="32"/>
        </w:rPr>
      </w:pPr>
    </w:p>
    <w:p w14:paraId="2A0F9B52">
      <w:pPr>
        <w:spacing w:line="540" w:lineRule="exact"/>
        <w:ind w:firstLine="567"/>
        <w:rPr>
          <w:rStyle w:val="18"/>
          <w:rFonts w:ascii="仿宋" w:hAnsi="仿宋" w:eastAsia="仿宋"/>
          <w:b w:val="0"/>
          <w:spacing w:val="-4"/>
          <w:sz w:val="32"/>
          <w:szCs w:val="32"/>
        </w:rPr>
      </w:pPr>
    </w:p>
    <w:p w14:paraId="3A53403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4F87785">
        <w:pPr>
          <w:pStyle w:val="12"/>
          <w:jc w:val="center"/>
        </w:pPr>
        <w:r>
          <w:fldChar w:fldCharType="begin"/>
        </w:r>
        <w:r>
          <w:instrText xml:space="preserve">PAGE   \* MERGEFORMAT</w:instrText>
        </w:r>
        <w:r>
          <w:fldChar w:fldCharType="separate"/>
        </w:r>
        <w:r>
          <w:rPr>
            <w:lang w:val="zh-CN"/>
          </w:rPr>
          <w:t>11</w:t>
        </w:r>
        <w:r>
          <w:fldChar w:fldCharType="end"/>
        </w:r>
      </w:p>
    </w:sdtContent>
  </w:sdt>
  <w:p w14:paraId="5FBB233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1E6195"/>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03836"/>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2006F"/>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C60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7922</Words>
  <Characters>8288</Characters>
  <Lines>60</Lines>
  <Paragraphs>16</Paragraphs>
  <TotalTime>0</TotalTime>
  <ScaleCrop>false</ScaleCrop>
  <LinksUpToDate>false</LinksUpToDate>
  <CharactersWithSpaces>8333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2025-08-18T03:42:00Z</dcterms:created>
  <dc:creator>赵 恺（预算处）</dc:creator>
  <cp:lastModifiedBy>雨。</cp:lastModifiedBy>
  <cp:lastPrinted>2018-12-31T10:56:00Z</cp:lastPrinted>
  <dcterms:modified xsi:type="dcterms:W3CDTF">2025-08-22T08:42:54Z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160D1BA1944349B08C48068401F6E698</vt:lpwstr>
  </property>
  <property fmtid="{D5CDD505-2E9C-101B-9397-08002B2CF9AE}" pid="4" name="KSOTemplateDocerSaveRecord">
    <vt:lpwstr>eyJoZGlkIjoiN2E1ZDY0MDI5MTE3YjM0ZGMyMzg4N2EwMDI4ZjJiM2YiLCJ1c2VySWQiOiIyNTk4NTcxMjUifQ==</vt:lpwstr>
  </property>
</Properties>
</file>